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2F" w:rsidRPr="00931F66" w:rsidRDefault="00A67A2F" w:rsidP="00A67A2F">
      <w:pPr>
        <w:pStyle w:val="a3"/>
        <w:jc w:val="center"/>
        <w:rPr>
          <w:b/>
          <w:sz w:val="28"/>
          <w:szCs w:val="28"/>
        </w:rPr>
      </w:pPr>
      <w:r w:rsidRPr="00931F66">
        <w:rPr>
          <w:b/>
          <w:sz w:val="28"/>
          <w:szCs w:val="28"/>
        </w:rPr>
        <w:t>АДМИНИСТРАЦИЯ ЮРЛИНСКОГО СЕЛЬСКОГО ПОСЕЛЕНИЯ</w:t>
      </w:r>
    </w:p>
    <w:p w:rsidR="00A67A2F" w:rsidRPr="00931F66" w:rsidRDefault="00A67A2F" w:rsidP="00A67A2F">
      <w:pPr>
        <w:pStyle w:val="a3"/>
        <w:jc w:val="center"/>
        <w:rPr>
          <w:b/>
          <w:sz w:val="28"/>
          <w:szCs w:val="28"/>
        </w:rPr>
      </w:pPr>
    </w:p>
    <w:p w:rsidR="00A67A2F" w:rsidRPr="00931F66" w:rsidRDefault="00A67A2F" w:rsidP="00A67A2F">
      <w:pPr>
        <w:pStyle w:val="a3"/>
        <w:jc w:val="center"/>
        <w:rPr>
          <w:b/>
          <w:sz w:val="28"/>
          <w:szCs w:val="28"/>
        </w:rPr>
      </w:pPr>
      <w:r w:rsidRPr="00931F66">
        <w:rPr>
          <w:b/>
          <w:sz w:val="28"/>
          <w:szCs w:val="28"/>
        </w:rPr>
        <w:t xml:space="preserve">ПОСТАНОВЛЕНИЕ </w:t>
      </w:r>
    </w:p>
    <w:p w:rsidR="00A67A2F" w:rsidRPr="00931F66" w:rsidRDefault="00A67A2F" w:rsidP="00A67A2F">
      <w:pPr>
        <w:pStyle w:val="a3"/>
        <w:jc w:val="center"/>
        <w:rPr>
          <w:b/>
          <w:sz w:val="28"/>
          <w:szCs w:val="28"/>
        </w:rPr>
      </w:pPr>
    </w:p>
    <w:p w:rsidR="00A67A2F" w:rsidRPr="00931F66" w:rsidRDefault="00EB7109" w:rsidP="00A67A2F">
      <w:pPr>
        <w:rPr>
          <w:rFonts w:ascii="Times New Roman" w:hAnsi="Times New Roman" w:cs="Times New Roman"/>
          <w:sz w:val="28"/>
          <w:szCs w:val="28"/>
        </w:rPr>
      </w:pPr>
      <w:r w:rsidRPr="00931F66">
        <w:rPr>
          <w:rFonts w:ascii="Times New Roman" w:hAnsi="Times New Roman" w:cs="Times New Roman"/>
          <w:sz w:val="28"/>
          <w:szCs w:val="28"/>
        </w:rPr>
        <w:t>31.01.2019</w:t>
      </w:r>
      <w:r w:rsidR="00A67A2F" w:rsidRPr="00931F6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D21625" w:rsidRPr="00931F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67A2F" w:rsidRPr="00931F66">
        <w:rPr>
          <w:rFonts w:ascii="Times New Roman" w:hAnsi="Times New Roman" w:cs="Times New Roman"/>
          <w:sz w:val="28"/>
          <w:szCs w:val="28"/>
        </w:rPr>
        <w:t xml:space="preserve">№ </w:t>
      </w:r>
      <w:r w:rsidR="00931F66" w:rsidRPr="00931F66">
        <w:rPr>
          <w:rFonts w:ascii="Times New Roman" w:hAnsi="Times New Roman" w:cs="Times New Roman"/>
          <w:sz w:val="28"/>
          <w:szCs w:val="28"/>
        </w:rPr>
        <w:t>15</w:t>
      </w:r>
    </w:p>
    <w:p w:rsidR="00A67A2F" w:rsidRPr="00931F66" w:rsidRDefault="00A67A2F" w:rsidP="00A67A2F">
      <w:pPr>
        <w:pStyle w:val="ConsPlusTitle"/>
        <w:widowControl/>
        <w:ind w:right="4535"/>
        <w:rPr>
          <w:rFonts w:ascii="Times New Roman" w:hAnsi="Times New Roman" w:cs="Times New Roman"/>
          <w:sz w:val="28"/>
          <w:szCs w:val="28"/>
        </w:rPr>
      </w:pPr>
      <w:r w:rsidRPr="00931F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21625" w:rsidRPr="00931F66">
        <w:rPr>
          <w:rFonts w:ascii="Times New Roman" w:hAnsi="Times New Roman" w:cs="Times New Roman"/>
          <w:sz w:val="28"/>
          <w:szCs w:val="28"/>
        </w:rPr>
        <w:t xml:space="preserve">муниципальной адресной программы «Расселение аварийного жилищного фонда на территории Юрлинского сельского поселения </w:t>
      </w:r>
      <w:r w:rsidR="00A02A00">
        <w:rPr>
          <w:rFonts w:ascii="Times New Roman" w:hAnsi="Times New Roman" w:cs="Times New Roman"/>
          <w:sz w:val="28"/>
          <w:szCs w:val="28"/>
        </w:rPr>
        <w:t>на 2019-2020 годы</w:t>
      </w:r>
      <w:r w:rsidR="00D21625" w:rsidRPr="00931F66">
        <w:rPr>
          <w:rFonts w:ascii="Times New Roman" w:hAnsi="Times New Roman" w:cs="Times New Roman"/>
          <w:sz w:val="28"/>
          <w:szCs w:val="28"/>
        </w:rPr>
        <w:t>»</w:t>
      </w:r>
    </w:p>
    <w:p w:rsidR="00A67A2F" w:rsidRPr="00931F66" w:rsidRDefault="00A67A2F" w:rsidP="008B3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88" w:rsidRPr="00931F66" w:rsidRDefault="008B3488" w:rsidP="00121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Жилищного </w:t>
      </w:r>
      <w:hyperlink r:id="rId5" w:history="1">
        <w:r w:rsidRPr="00931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Федерального </w:t>
      </w:r>
      <w:hyperlink r:id="rId6" w:history="1">
        <w:r w:rsidRPr="00931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06 октября 2003 г. № 131-ФЗ «Об общих принципах организации местного самоуправления в Российской Федерации», руководствуясь </w:t>
      </w:r>
      <w:r w:rsidR="001215B7" w:rsidRPr="00931F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1215B7" w:rsidRPr="00931F6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1215B7" w:rsidRPr="00931F66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3 октября 2013 г. N 1331-п «Об утверждении государственной программы "Градостроительная и жилищная политика, создание условий для комфортной городской среды», </w:t>
      </w:r>
      <w:hyperlink r:id="rId8" w:history="1">
        <w:r w:rsidR="001215B7" w:rsidRPr="00931F6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1215B7" w:rsidRPr="00931F66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14 марта 2018 г. N 110-п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="001215B7" w:rsidRPr="00931F6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215B7" w:rsidRPr="00931F66">
        <w:rPr>
          <w:rFonts w:ascii="Times New Roman" w:hAnsi="Times New Roman" w:cs="Times New Roman"/>
          <w:sz w:val="28"/>
          <w:szCs w:val="28"/>
        </w:rPr>
        <w:t xml:space="preserve"> мероприятий по расселению жилищного фонда на территории Пермского края, признанного аварийным после 1 января 2012 года, в рамках реализации региональной адресной программы по расселению аварийного жилищного фонда на территории Пермского края на 2018-2020 годы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Юрлинского сельского поселения</w:t>
      </w:r>
    </w:p>
    <w:p w:rsidR="008B3488" w:rsidRPr="00931F66" w:rsidRDefault="008B3488" w:rsidP="00931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B3488" w:rsidRPr="00931F66" w:rsidRDefault="008B3488" w:rsidP="00931F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Муниципальную адресную</w:t>
      </w:r>
      <w:r w:rsidR="00A67A2F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931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«Расселение аварийного жилищного фонда на территории Юрлинского сельского поселения </w:t>
      </w:r>
      <w:r w:rsidR="00A02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2019-2020 годы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1F66" w:rsidRPr="00931F66" w:rsidRDefault="00931F66" w:rsidP="00931F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Юрлинского сельского поселения от 10.09.2018 г. №18</w:t>
      </w:r>
      <w:r w:rsidR="00AD74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31F66">
        <w:rPr>
          <w:rFonts w:ascii="Times New Roman" w:hAnsi="Times New Roman" w:cs="Times New Roman"/>
          <w:sz w:val="28"/>
          <w:szCs w:val="28"/>
        </w:rPr>
        <w:t>Об утверждении муниципальной адресной программы «Расселение аварийного жилищного фонда на территории Юрлинского сельского поселения, признанного аварийным после 01 января 2012 года, в целях предотвращения чрезвычайных ситуаций»</w:t>
      </w:r>
      <w:r w:rsidRPr="00931F66">
        <w:rPr>
          <w:rFonts w:ascii="Times New Roman" w:hAnsi="Times New Roman" w:cs="Times New Roman"/>
          <w:sz w:val="28"/>
          <w:szCs w:val="28"/>
        </w:rPr>
        <w:t>»</w:t>
      </w:r>
      <w:r w:rsidRPr="00931F66">
        <w:rPr>
          <w:rFonts w:ascii="Times New Roman" w:hAnsi="Times New Roman" w:cs="Times New Roman"/>
          <w:sz w:val="28"/>
          <w:szCs w:val="28"/>
        </w:rPr>
        <w:t xml:space="preserve"> </w:t>
      </w:r>
      <w:r w:rsidRPr="00931F66">
        <w:rPr>
          <w:rFonts w:ascii="Times New Roman" w:hAnsi="Times New Roman" w:cs="Times New Roman"/>
          <w:sz w:val="28"/>
          <w:szCs w:val="28"/>
        </w:rPr>
        <w:t>п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силу.</w:t>
      </w:r>
    </w:p>
    <w:p w:rsidR="008B3488" w:rsidRPr="00931F66" w:rsidRDefault="008B3488" w:rsidP="00931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</w:t>
      </w:r>
      <w:r w:rsidR="00F1604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тупает в силу со дня его опублик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ования.</w:t>
      </w:r>
    </w:p>
    <w:p w:rsidR="008B3488" w:rsidRPr="00931F66" w:rsidRDefault="008B3488" w:rsidP="00931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8B3488" w:rsidRPr="00931F66" w:rsidRDefault="008B3488" w:rsidP="00931F6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7A2F" w:rsidRPr="00931F66" w:rsidRDefault="008B3488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67A2F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</w:t>
      </w:r>
    </w:p>
    <w:p w:rsidR="008B3488" w:rsidRPr="00931F66" w:rsidRDefault="008B3488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                                                             </w:t>
      </w:r>
      <w:r w:rsidR="00A67A2F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Верхоланцева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B3488" w:rsidRPr="00931F66" w:rsidRDefault="003F7876" w:rsidP="00A67A2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67A2F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ТВЕРЖДЕНА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 сельского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</w:t>
      </w:r>
      <w:r w:rsidR="00A67A2F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109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31.01.2019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625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№ </w:t>
      </w:r>
      <w:r w:rsidR="00931F66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88" w:rsidRPr="00931F66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АДРЕСНАЯ ПРОГРАММА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«РАССЕЛЕНИЕ АВАРИЙНОГО ЖИЛИЩНОГО ФОНДА НА ТЕРРИТОРИИ ЮРЛИНСКОГО СЕЛЬСКОГО ПОСЕЛЕНИЯ </w:t>
      </w:r>
      <w:r w:rsidR="00A02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 ГОДЫ</w:t>
      </w: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88" w:rsidRPr="00931F66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2397"/>
        <w:gridCol w:w="6844"/>
      </w:tblGrid>
      <w:tr w:rsidR="009669E2" w:rsidRPr="00931F66" w:rsidTr="00BD52F2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адресной программы</w:t>
            </w:r>
          </w:p>
        </w:tc>
        <w:tc>
          <w:tcPr>
            <w:tcW w:w="6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адресная программа «Расселение аварийного жилищного фонда на территории Юрлинского сельского поселения </w:t>
            </w:r>
            <w:r w:rsidR="00A0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2019-2020 годы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- Программа)</w:t>
            </w:r>
          </w:p>
        </w:tc>
      </w:tr>
      <w:tr w:rsidR="009669E2" w:rsidRPr="00931F66" w:rsidTr="008B348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67A2F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 </w:t>
            </w:r>
            <w:hyperlink r:id="rId10" w:history="1">
              <w:r w:rsidRPr="00931F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кодекс</w:t>
              </w:r>
            </w:hyperlink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Российской Федерации;</w:t>
            </w:r>
          </w:p>
          <w:p w:rsidR="008B3488" w:rsidRPr="00931F66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67A2F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Пермского края от 14 марта 2018г. № 110-п «Об утверждении Порядка предоставления субсидий из бюджета Пермского края бюджетам муниципальных образований Пермского края на </w:t>
            </w:r>
            <w:proofErr w:type="spellStart"/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расселению жилищного фонда на территории Пермского края, признанного аварийным после 01 января 2012 года, в рамках реализации региональной адресной программы по расселению аварийного жилищного фонда на территории Пермского края на 2018-2020годы»;</w:t>
            </w:r>
          </w:p>
          <w:p w:rsidR="008B3488" w:rsidRPr="00931F66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67A2F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строительства и архитектуры Пермского края от 22.03.2018г. № СЭД-358-01-12-68 «Об утверждении форм заявок на предоставление субсидий из бюджета Пермского края бюджетам муниципальных образований Пермского края на </w:t>
            </w:r>
            <w:proofErr w:type="spellStart"/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расселению жилищного фонда на территории Пермского края, признанного аварийным после 01 января 2012 года»</w:t>
            </w:r>
          </w:p>
        </w:tc>
      </w:tr>
      <w:tr w:rsidR="009669E2" w:rsidRPr="00931F66" w:rsidTr="00BD52F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Юрлинского сельского поселения</w:t>
            </w:r>
          </w:p>
        </w:tc>
      </w:tr>
      <w:tr w:rsidR="009669E2" w:rsidRPr="00931F66" w:rsidTr="008B3488">
        <w:trPr>
          <w:trHeight w:val="102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Программы:</w:t>
            </w:r>
          </w:p>
          <w:p w:rsidR="008B3488" w:rsidRPr="00931F66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обеспечение благоустроенными жилыми помещениями граждан, проживающих в многоквартирных домах, признанных аварийными после 01</w:t>
            </w:r>
            <w:r w:rsidR="00BD52F2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  <w:r w:rsidR="00A67A2F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в установленном законодательством порядке;</w:t>
            </w:r>
          </w:p>
          <w:p w:rsidR="008B3488" w:rsidRPr="00931F66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2) ликвидация </w:t>
            </w:r>
            <w:r w:rsidR="001215B7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2021 году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аварийного жилищного фонда на территории Юрлинского сельского поселения, площадью </w:t>
            </w:r>
            <w:r w:rsidR="00BD52F2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1018,</w:t>
            </w:r>
            <w:r w:rsidR="00EB0C57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67A2F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69E2" w:rsidRPr="00931F66" w:rsidTr="00BD52F2">
        <w:trPr>
          <w:trHeight w:val="98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Программы:</w:t>
            </w:r>
          </w:p>
          <w:p w:rsidR="008B3488" w:rsidRPr="00931F66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8306AD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  <w:r w:rsidR="00F16043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</w:t>
            </w:r>
            <w:r w:rsidR="00F16043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участие в региональной адресной программе по расселению аварийного жилищного фонда на территории Пермского края на 2018-2020</w:t>
            </w:r>
            <w:r w:rsidR="00D21625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годы»;</w:t>
            </w:r>
          </w:p>
          <w:p w:rsidR="008B3488" w:rsidRPr="00931F66" w:rsidRDefault="00F16043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разработка механизмов</w:t>
            </w:r>
            <w:r w:rsidR="008B3488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переселения граждан из аварийного жилищного фонда в соответствии со </w:t>
            </w:r>
            <w:hyperlink r:id="rId11" w:history="1">
              <w:r w:rsidR="008B3488" w:rsidRPr="00931F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статьями 32</w:t>
              </w:r>
            </w:hyperlink>
            <w:r w:rsidR="008B3488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2" w:history="1">
              <w:r w:rsidR="008B3488" w:rsidRPr="00931F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89</w:t>
              </w:r>
            </w:hyperlink>
            <w:r w:rsidR="008B3488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Жилищного кодекса Российской Федерации (далее - ЖК РФ);</w:t>
            </w:r>
          </w:p>
          <w:p w:rsidR="008B3488" w:rsidRPr="00931F66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F16043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жилищны</w:t>
            </w:r>
            <w:r w:rsidR="00F16043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проблем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проживающих в аварийном жилищном фонде на территории сельского поселения, признанном аварийным после 1 января 2012 года;</w:t>
            </w:r>
          </w:p>
          <w:p w:rsidR="008B3488" w:rsidRPr="00931F66" w:rsidRDefault="008B3488" w:rsidP="00F1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F16043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A67A2F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A530C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7A2F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530C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декабря 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года </w:t>
            </w:r>
            <w:r w:rsidR="00CF78EE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расселенных жилых 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  <w:r w:rsidR="00F16043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признанны</w:t>
            </w:r>
            <w:r w:rsidR="00F16043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аварийным</w:t>
            </w:r>
            <w:r w:rsidR="00F16043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69E2" w:rsidRPr="00931F66" w:rsidTr="008B3488">
        <w:trPr>
          <w:trHeight w:val="189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программы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МКД, в которых планируется произвести переселение граждан – </w:t>
            </w:r>
            <w:r w:rsidR="00BD52F2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3488" w:rsidRPr="00931F66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Прогнозный объем финансирования Программы – </w:t>
            </w:r>
            <w:r w:rsidR="00EB0C57" w:rsidRPr="00931F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23231947</w:t>
            </w:r>
            <w:r w:rsidR="00D350F1" w:rsidRPr="00931F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числе:</w:t>
            </w:r>
          </w:p>
          <w:p w:rsidR="008B3488" w:rsidRPr="00931F66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 счет средств бюджета Пермского края – </w:t>
            </w:r>
            <w:r w:rsidR="00EB0C57" w:rsidRPr="00931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17793069</w:t>
            </w:r>
            <w:r w:rsidR="00D350F1" w:rsidRPr="00931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 счет средств местного бюджета – </w:t>
            </w:r>
            <w:r w:rsidR="00EB0C57" w:rsidRPr="00931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5438878</w:t>
            </w:r>
            <w:r w:rsidR="00D350F1" w:rsidRPr="00931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рублей.</w:t>
            </w:r>
          </w:p>
        </w:tc>
      </w:tr>
      <w:tr w:rsidR="009669E2" w:rsidRPr="00931F66" w:rsidTr="00BD52F2">
        <w:trPr>
          <w:trHeight w:val="7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 годы</w:t>
            </w:r>
          </w:p>
        </w:tc>
      </w:tr>
      <w:tr w:rsidR="009669E2" w:rsidRPr="00931F66" w:rsidTr="008B3488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основных мероприятий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Юрлинского сельского поселения</w:t>
            </w:r>
          </w:p>
        </w:tc>
      </w:tr>
      <w:tr w:rsidR="009669E2" w:rsidRPr="00931F66" w:rsidTr="00BD52F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</w:t>
            </w:r>
          </w:p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09" w:rsidRPr="00931F66" w:rsidRDefault="00EB7109" w:rsidP="0011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Расселенная площадь жилых помещений </w:t>
            </w:r>
            <w:r w:rsidR="00D350F1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1018,</w:t>
            </w:r>
            <w:r w:rsidR="00EB0C57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7109" w:rsidRPr="00931F66" w:rsidRDefault="00EB7109" w:rsidP="0011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переселенных жителей – 91 чел.</w:t>
            </w:r>
          </w:p>
          <w:p w:rsidR="00EB7109" w:rsidRPr="00931F66" w:rsidRDefault="00EB7109" w:rsidP="0011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Общая площадь высвобожденных земельных участков </w:t>
            </w:r>
            <w:r w:rsidR="00D350F1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2500</w:t>
            </w:r>
            <w:r w:rsidR="00D350F1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50F1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D350F1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3488" w:rsidRPr="00931F66" w:rsidRDefault="008B3488" w:rsidP="0011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3488" w:rsidRPr="00931F66" w:rsidRDefault="008B3488" w:rsidP="008B3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адресная Программа «Расселение аварийного жилищного фонда на территории Юрлинского сельского поселения </w:t>
      </w:r>
      <w:r w:rsidR="00A02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2019-2020 годы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 (далее - Программа) разработана для реализации мероприятий по расселению жилищного фонда, признанного аварийным после 01 января 2012 года, в рамках реализации утвержденной постановлением Правительства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Пермского края региональной адресной программы по расселению аварийного жилищного фонда на 2018-2020 годы.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рассмотрения Программы является аварийный жилищный фонд - совокупность жилых помещений многоквартирных домов, признанных после 01 января 2012 года в установленном порядке аварийными и подлежащими сносу в связи с физическим износом в процессе их эксплуатации.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из аварийного жилищного фонда осуществляется в соответствии со </w:t>
      </w:r>
      <w:hyperlink r:id="rId13" w:history="1">
        <w:r w:rsidRPr="00931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history="1">
        <w:r w:rsidRPr="00931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</w:t>
        </w:r>
      </w:hyperlink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history="1">
        <w:r w:rsidRPr="00931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89</w:t>
        </w:r>
      </w:hyperlink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Жилищного кодекса Российской Федерации.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Юрлинского сельского поселения после 01 января 2012 года признан</w:t>
      </w:r>
      <w:r w:rsidR="00BD52F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непригодным</w:t>
      </w:r>
      <w:r w:rsidR="00BD52F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 </w:t>
      </w:r>
      <w:r w:rsidR="00BD52F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</w:t>
      </w:r>
      <w:r w:rsidR="00BD52F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BD52F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BD52F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1197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  <w:r w:rsidR="001C1D0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площадь жилых помещений, подлежащая расселению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1D0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BD52F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1107,</w:t>
      </w:r>
      <w:r w:rsidR="00EB0C57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C1D0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1D0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C1D0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числе: в 2018 г. 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произведено частичное расселение – </w:t>
      </w:r>
      <w:r w:rsidR="001C1D0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расселена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92C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занимаемая гражданами </w:t>
      </w:r>
      <w:r w:rsidR="001C1D0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жилая площадь 89,2 кв.м. </w:t>
      </w:r>
      <w:r w:rsidR="00E7292C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(путем выкупа). 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П</w:t>
      </w:r>
      <w:r w:rsidR="00BD52F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ограммой предусмотрено</w:t>
      </w:r>
      <w:r w:rsidR="00E7292C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рассел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7292C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D0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расселенн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C1D0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</w:t>
      </w:r>
      <w:r w:rsidR="00E7292C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C1D0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D52F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1D0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2F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1018,</w:t>
      </w:r>
      <w:r w:rsidR="00EB0C57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1D0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C1D0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количество граждан подлежащих расселению </w:t>
      </w:r>
      <w:r w:rsidR="00BD52F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1C1D0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1C1D0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расселены 10 человек</w:t>
      </w:r>
      <w:r w:rsidR="00E7292C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не расселенных граждан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292C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планируемых к расселению, настоящей Программой </w:t>
      </w:r>
      <w:r w:rsidR="00E7292C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BD52F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E7292C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1C1D0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аварийных многоквартирных домов Юрлинского сельского поселения </w:t>
      </w:r>
      <w:r w:rsidR="00E7292C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расселению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1 к настоящей Программе.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в аварийном фонде снижает социальный статус гражданина, не дает возможности реализовать право на приватизацию жилого помещения.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в жилых помещениях аварийного дома практически всегда сопряжено с низким уровнем благоустройства, что создает неравенство доступа граждан к ресурсам коммунального хозяйства и сужает возможности их использования, то есть снижается потенциальный рынок коммунальных услуг.</w:t>
      </w:r>
    </w:p>
    <w:p w:rsidR="00F16043" w:rsidRPr="00931F66" w:rsidRDefault="00F16043" w:rsidP="00F16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F66">
        <w:rPr>
          <w:rFonts w:ascii="Times New Roman" w:hAnsi="Times New Roman" w:cs="Times New Roman"/>
          <w:sz w:val="28"/>
          <w:szCs w:val="28"/>
        </w:rPr>
        <w:t xml:space="preserve">Договор о развитии застроенной территории, заключенного в соответствии со </w:t>
      </w:r>
      <w:hyperlink r:id="rId16" w:history="1">
        <w:r w:rsidRPr="00931F66">
          <w:rPr>
            <w:rFonts w:ascii="Times New Roman" w:hAnsi="Times New Roman" w:cs="Times New Roman"/>
            <w:sz w:val="28"/>
            <w:szCs w:val="28"/>
          </w:rPr>
          <w:t>статьями 46.1</w:t>
        </w:r>
      </w:hyperlink>
      <w:r w:rsidRPr="00931F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931F66">
          <w:rPr>
            <w:rFonts w:ascii="Times New Roman" w:hAnsi="Times New Roman" w:cs="Times New Roman"/>
            <w:sz w:val="28"/>
            <w:szCs w:val="28"/>
          </w:rPr>
          <w:t>46.2</w:t>
        </w:r>
      </w:hyperlink>
      <w:r w:rsidRPr="00931F6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после 1 января 2018 года, в отношении территории, на которой расположен многоквартирный дом, включенный в муниципальную адресную программу отсутствует.</w:t>
      </w:r>
    </w:p>
    <w:p w:rsidR="00F16043" w:rsidRPr="00931F66" w:rsidRDefault="00F16043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Программы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обеспечение благоустроенными жилыми помещениями граждан, проживающих в многоквартирных домах, признанных аварийными после 01.01.2012</w:t>
      </w:r>
      <w:r w:rsidR="00D21625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установленном законодательством порядке</w:t>
      </w:r>
      <w:r w:rsidR="00EB7109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2.1.2. ликвидация до </w:t>
      </w:r>
      <w:r w:rsidR="00AA530C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31.12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D52F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аварийного жилищного фонда на территории Юрлинского сельского поселения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488" w:rsidRPr="00931F66" w:rsidRDefault="008B3488" w:rsidP="00B559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 Программы:</w:t>
      </w:r>
    </w:p>
    <w:p w:rsidR="00F16043" w:rsidRPr="00931F66" w:rsidRDefault="008B3488" w:rsidP="00B5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604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6AD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="00F1604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в региональной адресной программе по расселению аварийного жилищного фонда на территории Пермского края на 2018-2020 годы»;</w:t>
      </w:r>
    </w:p>
    <w:p w:rsidR="00F16043" w:rsidRPr="00931F66" w:rsidRDefault="00F16043" w:rsidP="00B5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разработка механизмов переселения граждан из аварийного жилищного фонда в соответствии со </w:t>
      </w:r>
      <w:hyperlink r:id="rId18" w:history="1">
        <w:r w:rsidRPr="00931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history="1">
        <w:r w:rsidRPr="00931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89</w:t>
        </w:r>
      </w:hyperlink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Жилищного кодекса Российской Федерации (далее - ЖК РФ);</w:t>
      </w:r>
    </w:p>
    <w:p w:rsidR="008B3488" w:rsidRPr="00931F66" w:rsidRDefault="00F16043" w:rsidP="00BD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жилищных проблем граждан, проживающих в аварийном жилищном фонде на территории сельского поселения, признанн</w:t>
      </w:r>
      <w:r w:rsidR="00B559D6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</w:t>
      </w:r>
      <w:r w:rsidR="00B559D6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1 января 2012 года</w:t>
      </w:r>
      <w:r w:rsidR="00BD52F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043" w:rsidRPr="00931F66" w:rsidRDefault="00F16043" w:rsidP="00F16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Прогноз конечных результатов программы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78EE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программных мероприятий, при </w:t>
      </w:r>
      <w:proofErr w:type="spellStart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Пермского края в рамках региональной адресной программы по расселению аварийного жилищного фонда на территории Пермского края на 2018-2020 годы позволит</w:t>
      </w:r>
      <w:r w:rsidR="00CF78EE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7109" w:rsidRPr="00931F66" w:rsidRDefault="00BD52F2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расселить </w:t>
      </w:r>
      <w:r w:rsidR="00EB7109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жилых помещений аварийного жилищного фонда -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1018,</w:t>
      </w:r>
      <w:r w:rsidR="00EB0C57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78EE" w:rsidRPr="00931F66" w:rsidRDefault="00EB7109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D350F1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жилых помещений аварийного жилищного фонда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52F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559D6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167CD" w:rsidRPr="00931F66" w:rsidRDefault="001167CD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высвободить </w:t>
      </w:r>
      <w:r w:rsidRPr="00931F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земельные участки, после сноса многоквартирных домов в рамках реализации муниципальной программы, для строительства объектов социальной, транспортной инфраструктуры – общей площадью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84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proofErr w:type="spellStart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показатели выполнения Программы рассчитаны в натуральных показателях, представлены в приложении 3 к настоящей Программе.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Сроки и этапы реализации программы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2019-2020 годы.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основных и программных мероприятий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Мероприятия Программы подлежат реализации в случае их утверждения в региональной адресной программе Пермского края по расселению граждан из жилищного фонда, признанного аварийным после 01 января 2012 года.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Программы включают в себя:</w:t>
      </w:r>
    </w:p>
    <w:p w:rsidR="008B3488" w:rsidRPr="00931F66" w:rsidRDefault="00FA2B25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региональной адресной программе Пермского края по расселению граждан из жилищного фонда, признанного аварийным после 01 января 2012 года;</w:t>
      </w:r>
    </w:p>
    <w:p w:rsidR="008B3488" w:rsidRPr="00931F66" w:rsidRDefault="00FA2B25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утверждения мероприятий Программы в региональной адресной программе Пермского края по расселению граждан из жилищного фонда, признанного аварийным после 01 января 2012 года:</w:t>
      </w:r>
    </w:p>
    <w:p w:rsidR="008B3488" w:rsidRPr="00931F66" w:rsidRDefault="00FA2B25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на получении субсидии из краевого бюджета на реализацию Программы;</w:t>
      </w:r>
    </w:p>
    <w:p w:rsidR="008B3488" w:rsidRPr="00931F66" w:rsidRDefault="00FA2B25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расселению граждан из жилищного фонда, признанного аварийным после 01 января 2012 года.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Механизм реализации Программы предусматривает проведение организационных мероприятий, обеспечивающих выполнение Программы.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Исполнитель Программы:</w:t>
      </w:r>
    </w:p>
    <w:p w:rsidR="008B3488" w:rsidRPr="00931F66" w:rsidRDefault="00B559D6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реализацию мероприятий Программы;</w:t>
      </w:r>
    </w:p>
    <w:p w:rsidR="008B3488" w:rsidRPr="00931F66" w:rsidRDefault="00B559D6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целевое и эффективное использование средств краевого и местного бюджета, выделяемых на выполнение мероприятий Программы;</w:t>
      </w:r>
    </w:p>
    <w:p w:rsidR="008B3488" w:rsidRPr="00931F66" w:rsidRDefault="00B559D6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согласованность действий исполнителя и участников Программы по подготовке и реализации программных мероприятий;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в установленном порядке отчёты о ходе финансирования и реализации соответствующих мероприятий Программы.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рамках реализации Программы предусмотрено переселение граждан и снос аварийного жилищного фонда.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осуществляется в соответствии с действующим законодательством путем:</w:t>
      </w:r>
    </w:p>
    <w:p w:rsidR="008B3488" w:rsidRPr="00931F66" w:rsidRDefault="008B3488" w:rsidP="00F16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приобретения жилых помещений в соответствии со ст. 89 Жилищно</w:t>
      </w:r>
      <w:r w:rsidR="00F1604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кодекса Российской Федерации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в собственности которых находятся жилые помещения аварийного жилищного фонда, в соответствии с частью 8 статьи 32 Жилищного кодекса Российской Федерации;</w:t>
      </w:r>
    </w:p>
    <w:p w:rsidR="008B3488" w:rsidRPr="00931F66" w:rsidRDefault="00F16043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выплаты лицам, в собственности которых находятся жилые помещения аварийного жилищного фонда, возмещения за изымаемое жилое помещение в соответствии со статьей 32 Жилищного кодекса Российской Федерации.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аварийных многоквартирных домов Юрлинского сельского поселения</w:t>
      </w:r>
      <w:r w:rsidR="00E7292C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расселению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способам переселения приведен в приложении 2 к настоящей Программе.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Нормативно-правовое обеспечение Программы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муниципальной политики в сфере реализации Программы определены следующими нормативными документами:</w:t>
      </w:r>
    </w:p>
    <w:p w:rsidR="008B3488" w:rsidRPr="00931F66" w:rsidRDefault="00FA2B25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 </w:t>
      </w:r>
      <w:hyperlink r:id="rId20" w:history="1">
        <w:r w:rsidR="008B3488" w:rsidRPr="00931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:rsidR="008B3488" w:rsidRPr="00931F66" w:rsidRDefault="00FA2B25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адресная программа по расселению аварийного жилищного фонда на территории Пермского края на 2018-2020 годы; </w:t>
      </w:r>
    </w:p>
    <w:p w:rsidR="008B3488" w:rsidRPr="00931F66" w:rsidRDefault="00FA2B25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Постановление Правительства Пермского края от 14 марта 2018г. № 110-п  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расселению жилищного фонда на территории Пермского края, признанного аварийным после 01 января 2012 года, в рамках реализации региональной адресной программы по расселению аварийного жилищного фонда на территории Пермского края на 2018-2020годы»;</w:t>
      </w:r>
    </w:p>
    <w:p w:rsidR="008B3488" w:rsidRPr="00931F66" w:rsidRDefault="00FA2B25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строительства и архитектуры Пермского края от 22.03.2018г. № СЭД-358-01-12-68 «Об утверждении форм заявок на предоставление субсидий из бюджета Пермского края бюджетам муниципальных образований Пермского края на </w:t>
      </w:r>
      <w:proofErr w:type="spellStart"/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расселению жилищного фонда на территории Пермского края, признанного аварийным после 01 января 2012 года»</w:t>
      </w:r>
      <w:r w:rsidR="001C1D0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Перечень целевых показателей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 с расшифровкой плановых значений по годам её реализации приведён в Приложении 3 к настоящей Программе.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Ресурсное обеспечение Программы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Обоснование объемов средств на реализацию Программы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на проведение мероприятий в рамках реализации Программы определяется исходя из общей площади расселяемых жилых помещений в домах, включенных в перечень аварийных многоквартирных домов, и средней  расчетной стоимости 1 квадратного метра общей площади жилья по муниципальным районам (городским округам) Пермского края, утвержденной Постановлением Правительства Пермского края.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многоквартирных домов в Программу осуществлялось на основании документов о признании многоквартирных домов аварийными и подлежащими сносу в связи с физическим износом в процессе их эксплуатации, с учетом сформированных территорий, земельные участки которых в дальнейшем можно будет выставить на торги, и полученные от продажи средства использовать на мероприятия по переселению граждан из аварийного фонда.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Расселению подлежит в рамках Программы </w:t>
      </w:r>
      <w:r w:rsidR="00EB7109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</w:t>
      </w:r>
      <w:r w:rsidR="00EB7109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EB7109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</w:t>
      </w:r>
      <w:r w:rsidR="00BD52F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жилых помещений</w:t>
      </w:r>
      <w:r w:rsidR="00BD52F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расселенных из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аварийного жилищного фонда, подлежащ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расселению, составляет </w:t>
      </w:r>
      <w:r w:rsidR="0066184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1018,</w:t>
      </w:r>
      <w:r w:rsidR="00EB0C57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Переселение граждан из аварийного жилищного фонда осуществляется следующими способами: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жилых помещений путем заключения договоров мены взамен изымаемых жилых помещений;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гражданам других благоустроенных жилых помещений по договорам социального найма в связи с выселением в порядке, установленном Жилищным кодексом Российской Федерации;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выплаты собственникам выкупной цены за изымаемые в муниципальную собственность жилые помещения.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Общая стоимость мероприятий Программы составляет </w:t>
      </w:r>
      <w:r w:rsidR="00EB0C57" w:rsidRPr="00931F66">
        <w:rPr>
          <w:rFonts w:ascii="Times New Roman" w:hAnsi="Times New Roman" w:cs="Times New Roman"/>
          <w:b/>
          <w:color w:val="000000"/>
          <w:sz w:val="28"/>
          <w:szCs w:val="28"/>
        </w:rPr>
        <w:t>23231947</w:t>
      </w:r>
      <w:r w:rsidR="00661843" w:rsidRPr="00931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положений, изложенных в постановлении Правительства Пермского края от 14 марта 2018г. № 110-п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расселению жилищного фонда на территории Пермского края, признанного аварийным после 01 января 2012 года, в рамках реализации региональной адресной программы по расселению аварийного жилищного фонда на территории Пермского края на 2018-2020</w:t>
      </w:r>
      <w:r w:rsidR="00D21625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годы», доля </w:t>
      </w:r>
      <w:proofErr w:type="spellStart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 и (или) внебюджетных источников (средств собственников жилых помещений) не может быть менее 25% от общего объема средств, необходимых для расселения аварийного жилищного фонда в соответствии с Программой.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сведены в таблицу: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93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8"/>
        <w:gridCol w:w="1986"/>
        <w:gridCol w:w="2097"/>
        <w:gridCol w:w="1754"/>
      </w:tblGrid>
      <w:tr w:rsidR="00D350F1" w:rsidRPr="00931F66" w:rsidTr="00D350F1">
        <w:trPr>
          <w:trHeight w:val="330"/>
        </w:trPr>
        <w:tc>
          <w:tcPr>
            <w:tcW w:w="3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F1" w:rsidRPr="00931F66" w:rsidRDefault="00D350F1" w:rsidP="00D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F1" w:rsidRPr="00931F66" w:rsidRDefault="00D350F1" w:rsidP="00D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</w:tc>
      </w:tr>
      <w:tr w:rsidR="00D350F1" w:rsidRPr="00931F66" w:rsidTr="00D350F1">
        <w:trPr>
          <w:trHeight w:val="468"/>
        </w:trPr>
        <w:tc>
          <w:tcPr>
            <w:tcW w:w="3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0F1" w:rsidRPr="00931F66" w:rsidRDefault="00D350F1" w:rsidP="00D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F1" w:rsidRPr="00931F66" w:rsidRDefault="00D350F1" w:rsidP="00D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F1" w:rsidRPr="00931F66" w:rsidRDefault="00D350F1" w:rsidP="00D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0F1" w:rsidRPr="00931F66" w:rsidRDefault="00D350F1" w:rsidP="00D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D04805" w:rsidRPr="00931F66" w:rsidTr="006E5196">
        <w:trPr>
          <w:trHeight w:val="567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805" w:rsidRPr="00931F66" w:rsidRDefault="00D04805" w:rsidP="00D0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Пермского края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4079158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13569801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17648959</w:t>
            </w:r>
          </w:p>
        </w:tc>
      </w:tr>
      <w:tr w:rsidR="00D04805" w:rsidRPr="00931F66" w:rsidTr="006E5196"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805" w:rsidRPr="00931F66" w:rsidRDefault="00D04805" w:rsidP="00D0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Юрлинского сельского поселения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1359720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4223268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5582988</w:t>
            </w:r>
          </w:p>
        </w:tc>
      </w:tr>
      <w:tr w:rsidR="00D04805" w:rsidRPr="00931F66" w:rsidTr="006E5196"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805" w:rsidRPr="00931F66" w:rsidRDefault="00D04805" w:rsidP="00D0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годам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5438878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17793069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23231947</w:t>
            </w:r>
          </w:p>
        </w:tc>
      </w:tr>
      <w:tr w:rsidR="00D350F1" w:rsidRPr="00931F66" w:rsidTr="00D350F1"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0F1" w:rsidRPr="00931F66" w:rsidRDefault="00D350F1" w:rsidP="00D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5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F1" w:rsidRPr="00931F66" w:rsidRDefault="00D04805" w:rsidP="00D35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F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23231947</w:t>
            </w:r>
          </w:p>
        </w:tc>
      </w:tr>
    </w:tbl>
    <w:p w:rsidR="008B3488" w:rsidRPr="00931F66" w:rsidRDefault="008B3488" w:rsidP="008B3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Риски и меры по управлению рисками с целью минимизации их влияния на достижение целей Программы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рисками, оказывающими влияние на конечные результаты</w:t>
      </w:r>
      <w:r w:rsidR="00D21625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Программы</w:t>
      </w:r>
      <w:r w:rsidR="00D21625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риски, связанные с дефицитом краевого и местного бюджетов и возможностью невыполнения своих обязательств по </w:t>
      </w:r>
      <w:proofErr w:type="spellStart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Программы;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социальные риски, связанные с низкой социальной активностью населения;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управленческие риски, связанные с неэффективным управлением реализации Программы, недостаточным контролем над реализацией Программы и иные риски, которые могут препятствовать выполнению Программы.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наступления рисков муниципальная программа подлежит корректировке, в случае неполучения </w:t>
      </w:r>
      <w:proofErr w:type="spellStart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софинасирования</w:t>
      </w:r>
      <w:proofErr w:type="spellEnd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Пермского края возможна отмена муниципальной программы.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Методика оценки эффективности Программы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по итогам её исполнения за отчётный финансовый год и в целом – после завершения реализации Программы.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оценки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мероприятий в установленные сроки.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основных критериев оценки планируемой эффективности реализации Муниципальной программы применяются: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критерии экономической эффективности, учитывающие оценку вклада Муниципальной программы в экономическое развитие Юрлинского сельского поселения в целом, оценку влияния ожидаемых результатов Муниципальной программы на различные сферы экономики Юрлинского сельского поселения;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Муниципальной программы проводится ответственным исполнителем на этапе ее разработки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осуществляется в целях оценки планируемого вклада результатов Муниципальной программы в социально-экономическое развитие Юрлинского сельского поселения.</w:t>
      </w:r>
    </w:p>
    <w:p w:rsidR="002939A4" w:rsidRPr="00931F66" w:rsidRDefault="008B3488" w:rsidP="00B559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</w:t>
      </w:r>
      <w:r w:rsidR="002939A4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939A4" w:rsidRPr="00931F66" w:rsidRDefault="002939A4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39A4" w:rsidRPr="00931F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9A4" w:rsidRPr="00931F66" w:rsidRDefault="002939A4" w:rsidP="002939A4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939A4" w:rsidRPr="00931F66" w:rsidRDefault="002939A4" w:rsidP="002939A4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адресной программе «Расселение аварийного жилищного фонда на территории Юрлинского</w:t>
      </w:r>
    </w:p>
    <w:p w:rsidR="002939A4" w:rsidRPr="00931F66" w:rsidRDefault="002939A4" w:rsidP="002939A4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02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2019-2020 годы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3488" w:rsidRPr="00931F66" w:rsidRDefault="002939A4" w:rsidP="00D74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аварийных многоквартирных домов Юрлинского сельского поселения</w:t>
      </w:r>
      <w:r w:rsidR="00E7292C" w:rsidRPr="0093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подлежащих расселению</w:t>
      </w:r>
    </w:p>
    <w:p w:rsidR="008B3488" w:rsidRPr="00931F66" w:rsidRDefault="008B3488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61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59"/>
        <w:gridCol w:w="712"/>
        <w:gridCol w:w="1136"/>
        <w:gridCol w:w="1134"/>
        <w:gridCol w:w="1134"/>
        <w:gridCol w:w="567"/>
        <w:gridCol w:w="992"/>
        <w:gridCol w:w="698"/>
        <w:gridCol w:w="567"/>
        <w:gridCol w:w="720"/>
        <w:gridCol w:w="709"/>
        <w:gridCol w:w="591"/>
        <w:gridCol w:w="708"/>
        <w:gridCol w:w="744"/>
        <w:gridCol w:w="675"/>
        <w:gridCol w:w="1251"/>
        <w:gridCol w:w="851"/>
        <w:gridCol w:w="992"/>
      </w:tblGrid>
      <w:tr w:rsidR="00661843" w:rsidRPr="00931F66" w:rsidTr="0030799C">
        <w:trPr>
          <w:trHeight w:val="478"/>
        </w:trPr>
        <w:tc>
          <w:tcPr>
            <w:tcW w:w="450" w:type="dxa"/>
            <w:vMerge w:val="restart"/>
            <w:shd w:val="clear" w:color="auto" w:fill="auto"/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848" w:type="dxa"/>
            <w:gridSpan w:val="2"/>
            <w:vMerge w:val="restart"/>
            <w:shd w:val="clear" w:color="auto" w:fill="auto"/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дата окончания расселения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дата сноса или реконструкции МКД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жителей всего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жителей планируемых к переселению</w:t>
            </w:r>
          </w:p>
        </w:tc>
        <w:tc>
          <w:tcPr>
            <w:tcW w:w="69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 МКД</w:t>
            </w:r>
          </w:p>
        </w:tc>
        <w:tc>
          <w:tcPr>
            <w:tcW w:w="199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0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  <w:tc>
          <w:tcPr>
            <w:tcW w:w="27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переселения граждан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источники финансирования</w:t>
            </w:r>
          </w:p>
        </w:tc>
      </w:tr>
      <w:tr w:rsidR="00661843" w:rsidRPr="00931F66" w:rsidTr="0030799C">
        <w:trPr>
          <w:trHeight w:val="478"/>
        </w:trPr>
        <w:tc>
          <w:tcPr>
            <w:tcW w:w="450" w:type="dxa"/>
            <w:vMerge/>
            <w:shd w:val="clear" w:color="auto" w:fill="auto"/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shd w:val="clear" w:color="auto" w:fill="auto"/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843" w:rsidRPr="00931F66" w:rsidTr="0030799C">
        <w:trPr>
          <w:trHeight w:val="478"/>
        </w:trPr>
        <w:tc>
          <w:tcPr>
            <w:tcW w:w="450" w:type="dxa"/>
            <w:vMerge/>
            <w:shd w:val="clear" w:color="auto" w:fill="auto"/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shd w:val="clear" w:color="auto" w:fill="auto"/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9E2" w:rsidRPr="00931F66" w:rsidTr="0030799C">
        <w:trPr>
          <w:trHeight w:val="478"/>
        </w:trPr>
        <w:tc>
          <w:tcPr>
            <w:tcW w:w="450" w:type="dxa"/>
            <w:vMerge/>
            <w:shd w:val="clear" w:color="auto" w:fill="auto"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36" w:type="dxa"/>
            <w:shd w:val="clear" w:color="auto" w:fill="auto"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/>
            <w:shd w:val="clear" w:color="auto" w:fill="auto"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9669E2" w:rsidRPr="00931F66" w:rsidTr="0030799C">
        <w:trPr>
          <w:trHeight w:val="255"/>
        </w:trPr>
        <w:tc>
          <w:tcPr>
            <w:tcW w:w="450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8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1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5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1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2F" w:rsidRPr="00931F66" w:rsidRDefault="00A67A2F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61843" w:rsidRPr="00931F66" w:rsidTr="0030799C">
        <w:trPr>
          <w:trHeight w:val="255"/>
        </w:trPr>
        <w:tc>
          <w:tcPr>
            <w:tcW w:w="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3079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805" w:rsidRPr="00931F66" w:rsidTr="00D04805">
        <w:trPr>
          <w:trHeight w:val="271"/>
        </w:trPr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805" w:rsidRPr="00931F66" w:rsidRDefault="00D04805" w:rsidP="00D0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805" w:rsidRPr="00931F66" w:rsidRDefault="00D04805" w:rsidP="00D0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с.Юрла</w:t>
            </w:r>
            <w:proofErr w:type="spellEnd"/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Калинина, д. 12</w:t>
            </w:r>
          </w:p>
        </w:tc>
        <w:tc>
          <w:tcPr>
            <w:tcW w:w="7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14.06.2018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30.11.2019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5438878</w:t>
            </w:r>
          </w:p>
        </w:tc>
        <w:tc>
          <w:tcPr>
            <w:tcW w:w="1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4079158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1359720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244,4</w:t>
            </w:r>
          </w:p>
        </w:tc>
      </w:tr>
      <w:tr w:rsidR="00D04805" w:rsidRPr="00931F66" w:rsidTr="00D04805">
        <w:trPr>
          <w:trHeight w:val="278"/>
        </w:trPr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2019 год</w:t>
            </w:r>
          </w:p>
        </w:tc>
        <w:tc>
          <w:tcPr>
            <w:tcW w:w="7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5438878</w:t>
            </w:r>
          </w:p>
        </w:tc>
        <w:tc>
          <w:tcPr>
            <w:tcW w:w="1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4079158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1359720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244,4</w:t>
            </w:r>
          </w:p>
        </w:tc>
      </w:tr>
      <w:tr w:rsidR="00D04805" w:rsidRPr="00931F66" w:rsidTr="00D04805">
        <w:trPr>
          <w:trHeight w:val="278"/>
        </w:trPr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4805" w:rsidRPr="00931F66" w:rsidTr="00D04805">
        <w:trPr>
          <w:trHeight w:val="278"/>
        </w:trPr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с.Юрла</w:t>
            </w:r>
            <w:proofErr w:type="spellEnd"/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д. 13</w:t>
            </w:r>
          </w:p>
        </w:tc>
        <w:tc>
          <w:tcPr>
            <w:tcW w:w="7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2626451</w:t>
            </w:r>
          </w:p>
        </w:tc>
        <w:tc>
          <w:tcPr>
            <w:tcW w:w="1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1969838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656613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</w:tr>
      <w:tr w:rsidR="00D04805" w:rsidRPr="00931F66" w:rsidTr="00D04805">
        <w:trPr>
          <w:trHeight w:val="355"/>
        </w:trPr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с.Юрла</w:t>
            </w:r>
            <w:proofErr w:type="spellEnd"/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Свердлова, д. 68</w:t>
            </w:r>
          </w:p>
        </w:tc>
        <w:tc>
          <w:tcPr>
            <w:tcW w:w="7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232,6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7713447</w:t>
            </w:r>
          </w:p>
        </w:tc>
        <w:tc>
          <w:tcPr>
            <w:tcW w:w="1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5785085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1928362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330,1</w:t>
            </w:r>
          </w:p>
        </w:tc>
      </w:tr>
      <w:tr w:rsidR="00D04805" w:rsidRPr="00931F66" w:rsidTr="00D04805">
        <w:trPr>
          <w:trHeight w:val="131"/>
        </w:trPr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с.Юрла</w:t>
            </w:r>
            <w:proofErr w:type="spellEnd"/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Свердлова, д. 76</w:t>
            </w:r>
          </w:p>
        </w:tc>
        <w:tc>
          <w:tcPr>
            <w:tcW w:w="7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331,8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7753171</w:t>
            </w:r>
          </w:p>
        </w:tc>
        <w:tc>
          <w:tcPr>
            <w:tcW w:w="1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5814878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1938293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331,8</w:t>
            </w:r>
          </w:p>
        </w:tc>
      </w:tr>
      <w:tr w:rsidR="00D04805" w:rsidRPr="00931F66" w:rsidTr="00D04805">
        <w:trPr>
          <w:trHeight w:val="292"/>
        </w:trPr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2020 год</w:t>
            </w:r>
          </w:p>
        </w:tc>
        <w:tc>
          <w:tcPr>
            <w:tcW w:w="7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475,2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299,1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18093069</w:t>
            </w:r>
          </w:p>
        </w:tc>
        <w:tc>
          <w:tcPr>
            <w:tcW w:w="1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13569801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4523268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774,3</w:t>
            </w:r>
          </w:p>
        </w:tc>
      </w:tr>
      <w:tr w:rsidR="00D04805" w:rsidRPr="00931F66" w:rsidTr="00D04805">
        <w:trPr>
          <w:trHeight w:val="292"/>
        </w:trPr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1018,7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1018,7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592,4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426,3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23531947</w:t>
            </w:r>
          </w:p>
        </w:tc>
        <w:tc>
          <w:tcPr>
            <w:tcW w:w="1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17648959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5882988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05" w:rsidRPr="00931F66" w:rsidRDefault="00D04805" w:rsidP="00D04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1018,7</w:t>
            </w:r>
          </w:p>
        </w:tc>
      </w:tr>
    </w:tbl>
    <w:p w:rsidR="008B3488" w:rsidRPr="00931F66" w:rsidRDefault="008B3488" w:rsidP="00D7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B3488" w:rsidRPr="00931F66" w:rsidSect="00AA530C">
          <w:pgSz w:w="16838" w:h="11906" w:orient="landscape"/>
          <w:pgMar w:top="1701" w:right="1134" w:bottom="425" w:left="567" w:header="709" w:footer="709" w:gutter="0"/>
          <w:cols w:space="708"/>
          <w:docGrid w:linePitch="360"/>
        </w:sectPr>
      </w:pPr>
      <w:r w:rsidRPr="00931F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B3488" w:rsidRPr="00931F66" w:rsidRDefault="008B3488" w:rsidP="008B3488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B3488" w:rsidRPr="00931F66" w:rsidRDefault="008B3488" w:rsidP="008B3488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адресной программе «Расселение аварийного жилищного фонда на территории Юрлинского</w:t>
      </w:r>
    </w:p>
    <w:p w:rsidR="008B3488" w:rsidRPr="00931F66" w:rsidRDefault="008B3488" w:rsidP="008B3488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02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2019-2020 годы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аварийных многоквартирных домов Юрлинского сельского поселения</w:t>
      </w:r>
      <w:r w:rsidR="00E7292C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92C" w:rsidRPr="0093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расселению</w:t>
      </w:r>
      <w:r w:rsidRPr="0093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способам переселения</w:t>
      </w:r>
    </w:p>
    <w:p w:rsidR="00661843" w:rsidRPr="00931F66" w:rsidRDefault="008B3488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6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224"/>
        <w:gridCol w:w="709"/>
        <w:gridCol w:w="709"/>
        <w:gridCol w:w="709"/>
        <w:gridCol w:w="850"/>
        <w:gridCol w:w="709"/>
        <w:gridCol w:w="9"/>
        <w:gridCol w:w="700"/>
        <w:gridCol w:w="850"/>
        <w:gridCol w:w="709"/>
        <w:gridCol w:w="709"/>
        <w:gridCol w:w="850"/>
        <w:gridCol w:w="688"/>
        <w:gridCol w:w="21"/>
        <w:gridCol w:w="709"/>
        <w:gridCol w:w="850"/>
        <w:gridCol w:w="709"/>
        <w:gridCol w:w="709"/>
        <w:gridCol w:w="850"/>
        <w:gridCol w:w="850"/>
      </w:tblGrid>
      <w:tr w:rsidR="00AA530C" w:rsidRPr="00931F66" w:rsidTr="00661843">
        <w:trPr>
          <w:trHeight w:val="495"/>
        </w:trPr>
        <w:tc>
          <w:tcPr>
            <w:tcW w:w="513" w:type="dxa"/>
            <w:vMerge w:val="restart"/>
            <w:shd w:val="clear" w:color="auto" w:fill="auto"/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41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2277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МКД</w:t>
            </w:r>
          </w:p>
        </w:tc>
        <w:tc>
          <w:tcPr>
            <w:tcW w:w="225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жилых помещений у застройщиков</w:t>
            </w:r>
          </w:p>
        </w:tc>
        <w:tc>
          <w:tcPr>
            <w:tcW w:w="2247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жилых помещений у лиц, не являющихся застройщиком</w:t>
            </w:r>
          </w:p>
        </w:tc>
        <w:tc>
          <w:tcPr>
            <w:tcW w:w="2289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 жилых помещений у собственников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всего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 стоимость 1 кв.м</w:t>
            </w:r>
          </w:p>
        </w:tc>
      </w:tr>
      <w:tr w:rsidR="00AA530C" w:rsidRPr="00931F66" w:rsidTr="00661843">
        <w:trPr>
          <w:trHeight w:val="255"/>
        </w:trPr>
        <w:tc>
          <w:tcPr>
            <w:tcW w:w="5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частная собственность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стоимость 1 кв. м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стоимость 1 кв. м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стоимость 1 кв. м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стоимость 1 кв. м</w:t>
            </w: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0C" w:rsidRPr="00931F66" w:rsidRDefault="00AA530C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9E2" w:rsidRPr="00931F66" w:rsidTr="00661843">
        <w:trPr>
          <w:trHeight w:val="255"/>
        </w:trPr>
        <w:tc>
          <w:tcPr>
            <w:tcW w:w="5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9669E2" w:rsidRPr="00931F66" w:rsidTr="00661843">
        <w:trPr>
          <w:trHeight w:val="255"/>
        </w:trPr>
        <w:tc>
          <w:tcPr>
            <w:tcW w:w="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9B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61843" w:rsidRPr="00931F66" w:rsidTr="00661843">
        <w:trPr>
          <w:trHeight w:val="255"/>
        </w:trPr>
        <w:tc>
          <w:tcPr>
            <w:tcW w:w="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661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6618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661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661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661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661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661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661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661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661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661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661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661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661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661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661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661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661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43" w:rsidRPr="00931F66" w:rsidRDefault="00661843" w:rsidP="006618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0C57" w:rsidRPr="00931F66" w:rsidTr="00EB0C57">
        <w:trPr>
          <w:trHeight w:val="255"/>
        </w:trPr>
        <w:tc>
          <w:tcPr>
            <w:tcW w:w="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с.Юрла</w:t>
            </w:r>
            <w:proofErr w:type="spellEnd"/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Калинина, д. 12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2830709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22254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2608169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22254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5438878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22254</w:t>
            </w:r>
          </w:p>
        </w:tc>
      </w:tr>
      <w:tr w:rsidR="00EB0C57" w:rsidRPr="00931F66" w:rsidTr="00EB0C57">
        <w:trPr>
          <w:trHeight w:val="255"/>
        </w:trPr>
        <w:tc>
          <w:tcPr>
            <w:tcW w:w="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2019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2830709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2608168,8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5438878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B0C57" w:rsidRPr="00931F66" w:rsidTr="00EB0C57">
        <w:trPr>
          <w:trHeight w:val="255"/>
        </w:trPr>
        <w:tc>
          <w:tcPr>
            <w:tcW w:w="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0C57" w:rsidRPr="00931F66" w:rsidTr="00EB0C57">
        <w:trPr>
          <w:trHeight w:val="255"/>
        </w:trPr>
        <w:tc>
          <w:tcPr>
            <w:tcW w:w="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с.Юрла</w:t>
            </w:r>
            <w:proofErr w:type="spellEnd"/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Советская, д. 13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2626451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23367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23367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2626451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23367</w:t>
            </w:r>
          </w:p>
        </w:tc>
      </w:tr>
      <w:tr w:rsidR="00EB0C57" w:rsidRPr="00931F66" w:rsidTr="00EB0C57">
        <w:trPr>
          <w:trHeight w:val="255"/>
        </w:trPr>
        <w:tc>
          <w:tcPr>
            <w:tcW w:w="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с.Юрла</w:t>
            </w:r>
            <w:proofErr w:type="spellEnd"/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Свердлова, д. 68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2278283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23367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5435164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23367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7713447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23367</w:t>
            </w:r>
          </w:p>
        </w:tc>
      </w:tr>
      <w:tr w:rsidR="00EB0C57" w:rsidRPr="00931F66" w:rsidTr="00EB0C57">
        <w:trPr>
          <w:trHeight w:val="255"/>
        </w:trPr>
        <w:tc>
          <w:tcPr>
            <w:tcW w:w="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с.Юрла</w:t>
            </w:r>
            <w:proofErr w:type="spellEnd"/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Свердлова, д. 76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2084338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23367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5668834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23367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7753172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23367</w:t>
            </w:r>
          </w:p>
        </w:tc>
      </w:tr>
      <w:tr w:rsidR="00EB0C57" w:rsidRPr="00931F66" w:rsidTr="00EB0C57">
        <w:trPr>
          <w:trHeight w:val="255"/>
        </w:trPr>
        <w:tc>
          <w:tcPr>
            <w:tcW w:w="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2020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6989071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11103998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18093070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B0C57" w:rsidRPr="00931F66" w:rsidTr="00EB0C57">
        <w:trPr>
          <w:trHeight w:val="255"/>
        </w:trPr>
        <w:tc>
          <w:tcPr>
            <w:tcW w:w="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1018,7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592,4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426,3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9819780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592,4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13712167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23531947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57" w:rsidRPr="00931F66" w:rsidRDefault="00EB0C57" w:rsidP="00EB0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8B3488" w:rsidRPr="00931F66" w:rsidRDefault="008B3488" w:rsidP="00543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F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B3488" w:rsidRPr="00931F66" w:rsidRDefault="008B3488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F66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8B3488" w:rsidRPr="00931F66" w:rsidRDefault="008B3488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F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B3488" w:rsidRPr="00931F66" w:rsidRDefault="008B3488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F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B3488" w:rsidRPr="00931F66" w:rsidRDefault="008B3488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B3488" w:rsidRPr="00931F66" w:rsidSect="00AA530C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  <w:r w:rsidRPr="00931F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B3488" w:rsidRPr="00931F66" w:rsidRDefault="008B3488" w:rsidP="008B3488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3</w:t>
      </w:r>
    </w:p>
    <w:p w:rsidR="008B3488" w:rsidRPr="00931F66" w:rsidRDefault="008B3488" w:rsidP="008B3488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0"/>
          <w:lang w:eastAsia="ru-RU"/>
        </w:rPr>
        <w:t>к муниципальной адресной программе «Расселение аварийного жилищного фонда на территории Юрлинского</w:t>
      </w:r>
    </w:p>
    <w:p w:rsidR="008B3488" w:rsidRPr="00931F66" w:rsidRDefault="008B3488" w:rsidP="008B3488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="00A02A0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2019-2020 годы</w:t>
      </w:r>
      <w:r w:rsidRPr="00931F6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8B3488" w:rsidRPr="00931F66" w:rsidRDefault="008B3488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0"/>
          <w:lang w:eastAsia="ru-RU"/>
        </w:rPr>
        <w:t>  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показатели выполнения</w:t>
      </w:r>
      <w:r w:rsidR="002939A4"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адресной программы 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«Расселение аварийного жилищного фонда на территории Юрлинского сельского поселения </w:t>
      </w:r>
      <w:r w:rsidR="00A02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 годы</w:t>
      </w: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B3488" w:rsidRPr="00931F66" w:rsidRDefault="008B3488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3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277"/>
        <w:gridCol w:w="1165"/>
        <w:gridCol w:w="1166"/>
        <w:gridCol w:w="1165"/>
        <w:gridCol w:w="1166"/>
        <w:gridCol w:w="1165"/>
        <w:gridCol w:w="1166"/>
        <w:gridCol w:w="1165"/>
        <w:gridCol w:w="1166"/>
        <w:gridCol w:w="1166"/>
      </w:tblGrid>
      <w:tr w:rsidR="0080675D" w:rsidRPr="00931F66" w:rsidTr="0080675D">
        <w:trPr>
          <w:trHeight w:val="255"/>
        </w:trPr>
        <w:tc>
          <w:tcPr>
            <w:tcW w:w="5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75D" w:rsidRPr="00931F66" w:rsidRDefault="0080675D" w:rsidP="008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75D" w:rsidRPr="00931F66" w:rsidRDefault="0080675D" w:rsidP="008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349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75D" w:rsidRPr="00931F66" w:rsidRDefault="0080675D" w:rsidP="008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Расселенная площадь жилых помещений, </w:t>
            </w:r>
            <w:proofErr w:type="spellStart"/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7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75D" w:rsidRPr="00931F66" w:rsidRDefault="0080675D" w:rsidP="008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переселенных жителей, чел.</w:t>
            </w:r>
          </w:p>
        </w:tc>
        <w:tc>
          <w:tcPr>
            <w:tcW w:w="3497" w:type="dxa"/>
            <w:gridSpan w:val="3"/>
            <w:shd w:val="clear" w:color="auto" w:fill="auto"/>
          </w:tcPr>
          <w:p w:rsidR="0080675D" w:rsidRPr="00931F66" w:rsidRDefault="0080675D" w:rsidP="0011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площадь, высвобожденных земельных участков, </w:t>
            </w:r>
            <w:proofErr w:type="spellStart"/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675D" w:rsidRPr="00931F66" w:rsidTr="0080675D">
        <w:trPr>
          <w:trHeight w:val="255"/>
        </w:trPr>
        <w:tc>
          <w:tcPr>
            <w:tcW w:w="594" w:type="dxa"/>
            <w:vMerge/>
            <w:shd w:val="clear" w:color="auto" w:fill="auto"/>
            <w:hideMark/>
          </w:tcPr>
          <w:p w:rsidR="0080675D" w:rsidRPr="00931F66" w:rsidRDefault="0080675D" w:rsidP="00B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  <w:shd w:val="clear" w:color="auto" w:fill="auto"/>
            <w:hideMark/>
          </w:tcPr>
          <w:p w:rsidR="0080675D" w:rsidRPr="00931F66" w:rsidRDefault="0080675D" w:rsidP="00B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75D" w:rsidRPr="00931F66" w:rsidRDefault="0080675D" w:rsidP="00B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75D" w:rsidRPr="00931F66" w:rsidRDefault="0080675D" w:rsidP="00B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75D" w:rsidRPr="00931F66" w:rsidRDefault="0080675D" w:rsidP="00B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75D" w:rsidRPr="00931F66" w:rsidRDefault="0080675D" w:rsidP="00B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75D" w:rsidRPr="00931F66" w:rsidRDefault="0080675D" w:rsidP="00B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75D" w:rsidRPr="00931F66" w:rsidRDefault="0080675D" w:rsidP="00B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shd w:val="clear" w:color="auto" w:fill="auto"/>
          </w:tcPr>
          <w:p w:rsidR="0080675D" w:rsidRPr="00931F66" w:rsidRDefault="0080675D" w:rsidP="00B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66" w:type="dxa"/>
            <w:shd w:val="clear" w:color="auto" w:fill="auto"/>
          </w:tcPr>
          <w:p w:rsidR="0080675D" w:rsidRPr="00931F66" w:rsidRDefault="0080675D" w:rsidP="00B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66" w:type="dxa"/>
            <w:shd w:val="clear" w:color="auto" w:fill="auto"/>
          </w:tcPr>
          <w:p w:rsidR="0080675D" w:rsidRPr="00931F66" w:rsidRDefault="0080675D" w:rsidP="00B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0675D" w:rsidRPr="00931F66" w:rsidTr="0080675D">
        <w:trPr>
          <w:trHeight w:val="255"/>
        </w:trPr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75D" w:rsidRPr="00931F66" w:rsidRDefault="0080675D" w:rsidP="008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75D" w:rsidRPr="00931F66" w:rsidRDefault="0080675D" w:rsidP="008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75D" w:rsidRPr="00931F66" w:rsidRDefault="0080675D" w:rsidP="008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75D" w:rsidRPr="00931F66" w:rsidRDefault="0080675D" w:rsidP="008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75D" w:rsidRPr="00931F66" w:rsidRDefault="0080675D" w:rsidP="008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5D" w:rsidRPr="00931F66" w:rsidRDefault="0080675D" w:rsidP="008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5D" w:rsidRPr="00931F66" w:rsidRDefault="0080675D" w:rsidP="008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5D" w:rsidRPr="00931F66" w:rsidRDefault="0080675D" w:rsidP="008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5" w:type="dxa"/>
            <w:shd w:val="clear" w:color="auto" w:fill="auto"/>
          </w:tcPr>
          <w:p w:rsidR="0080675D" w:rsidRPr="00931F66" w:rsidRDefault="0080675D" w:rsidP="008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6" w:type="dxa"/>
            <w:shd w:val="clear" w:color="auto" w:fill="auto"/>
          </w:tcPr>
          <w:p w:rsidR="0080675D" w:rsidRPr="00931F66" w:rsidRDefault="0080675D" w:rsidP="008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80675D" w:rsidRPr="00931F66" w:rsidRDefault="0080675D" w:rsidP="008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0675D" w:rsidRPr="009669E2" w:rsidTr="0080675D">
        <w:trPr>
          <w:trHeight w:val="900"/>
        </w:trPr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75D" w:rsidRPr="00931F66" w:rsidRDefault="0080675D" w:rsidP="009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75D" w:rsidRPr="00931F66" w:rsidRDefault="0080675D" w:rsidP="009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Юрлинское сельское поселение</w:t>
            </w:r>
          </w:p>
        </w:tc>
        <w:tc>
          <w:tcPr>
            <w:tcW w:w="11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75D" w:rsidRPr="00931F66" w:rsidRDefault="0080675D" w:rsidP="009F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66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11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75D" w:rsidRPr="00931F66" w:rsidRDefault="0080675D" w:rsidP="009F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66">
              <w:rPr>
                <w:rFonts w:ascii="Times New Roman" w:hAnsi="Times New Roman" w:cs="Times New Roman"/>
                <w:sz w:val="24"/>
                <w:szCs w:val="24"/>
              </w:rPr>
              <w:t>774,3</w:t>
            </w:r>
          </w:p>
        </w:tc>
        <w:tc>
          <w:tcPr>
            <w:tcW w:w="11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75D" w:rsidRPr="00931F66" w:rsidRDefault="0080675D" w:rsidP="009F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66">
              <w:rPr>
                <w:rFonts w:ascii="Times New Roman" w:hAnsi="Times New Roman" w:cs="Times New Roman"/>
                <w:sz w:val="24"/>
                <w:szCs w:val="24"/>
              </w:rPr>
              <w:t>1018,7</w:t>
            </w:r>
          </w:p>
        </w:tc>
        <w:tc>
          <w:tcPr>
            <w:tcW w:w="11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5D" w:rsidRPr="00931F66" w:rsidRDefault="0080675D" w:rsidP="009F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75D" w:rsidRPr="00931F66" w:rsidRDefault="0080675D" w:rsidP="009F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75D" w:rsidRPr="00931F66" w:rsidRDefault="0080675D" w:rsidP="009F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6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0675D" w:rsidRPr="00931F66" w:rsidRDefault="0080675D" w:rsidP="009F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0675D" w:rsidRPr="00931F66" w:rsidRDefault="0080675D" w:rsidP="009F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6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0675D" w:rsidRPr="0080675D" w:rsidRDefault="0080675D" w:rsidP="009F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6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BE3B48" w:rsidRPr="009669E2" w:rsidRDefault="00BE3B48" w:rsidP="008B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3B48" w:rsidRPr="009669E2" w:rsidSect="008B34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C1851"/>
    <w:multiLevelType w:val="hybridMultilevel"/>
    <w:tmpl w:val="DBDE7854"/>
    <w:lvl w:ilvl="0" w:tplc="9AC4F392">
      <w:start w:val="1"/>
      <w:numFmt w:val="decimal"/>
      <w:lvlText w:val="%1."/>
      <w:lvlJc w:val="left"/>
      <w:pPr>
        <w:ind w:left="151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88"/>
    <w:rsid w:val="0002552A"/>
    <w:rsid w:val="000A5984"/>
    <w:rsid w:val="000D6B8B"/>
    <w:rsid w:val="001167CD"/>
    <w:rsid w:val="001215B7"/>
    <w:rsid w:val="00144F79"/>
    <w:rsid w:val="001C1D02"/>
    <w:rsid w:val="001D148D"/>
    <w:rsid w:val="002939A4"/>
    <w:rsid w:val="0030799C"/>
    <w:rsid w:val="003B4564"/>
    <w:rsid w:val="003F7876"/>
    <w:rsid w:val="004E093B"/>
    <w:rsid w:val="00543BFF"/>
    <w:rsid w:val="00661843"/>
    <w:rsid w:val="00780BFB"/>
    <w:rsid w:val="0080675D"/>
    <w:rsid w:val="008121F1"/>
    <w:rsid w:val="008306AD"/>
    <w:rsid w:val="008B3488"/>
    <w:rsid w:val="008F125A"/>
    <w:rsid w:val="009220D0"/>
    <w:rsid w:val="00931F66"/>
    <w:rsid w:val="009669E2"/>
    <w:rsid w:val="009B29FE"/>
    <w:rsid w:val="009C07C4"/>
    <w:rsid w:val="009F3ACC"/>
    <w:rsid w:val="00A02A00"/>
    <w:rsid w:val="00A67A2F"/>
    <w:rsid w:val="00AA530C"/>
    <w:rsid w:val="00AB40EE"/>
    <w:rsid w:val="00AD74C6"/>
    <w:rsid w:val="00AF0CEB"/>
    <w:rsid w:val="00AF0ECF"/>
    <w:rsid w:val="00B233F7"/>
    <w:rsid w:val="00B24CAB"/>
    <w:rsid w:val="00B559D6"/>
    <w:rsid w:val="00BB762B"/>
    <w:rsid w:val="00BD05A6"/>
    <w:rsid w:val="00BD52F2"/>
    <w:rsid w:val="00BE3B48"/>
    <w:rsid w:val="00CF78EE"/>
    <w:rsid w:val="00D04805"/>
    <w:rsid w:val="00D21625"/>
    <w:rsid w:val="00D350F1"/>
    <w:rsid w:val="00D40BCD"/>
    <w:rsid w:val="00D72223"/>
    <w:rsid w:val="00D74427"/>
    <w:rsid w:val="00E7292C"/>
    <w:rsid w:val="00EB0C57"/>
    <w:rsid w:val="00EB7109"/>
    <w:rsid w:val="00F16043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923B"/>
  <w15:docId w15:val="{D25B4477-ED32-460F-89CD-BE9220E3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7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71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1794A6B33A6D2AB8F1EC51D1A61E5C2AF858689B86F18D1EE7186A5264798BDED83EA2074686849C3053F769CD377D9D308DE6A9F62AE69031569AEHFQ" TargetMode="External"/><Relationship Id="rId13" Type="http://schemas.openxmlformats.org/officeDocument/2006/relationships/hyperlink" Target="consultantplus://offline/main?base=LAW;n=107420;fld=134;dst=100247" TargetMode="External"/><Relationship Id="rId18" Type="http://schemas.openxmlformats.org/officeDocument/2006/relationships/hyperlink" Target="consultantplus://offline/main?base=LAW;n=107420;fld=134;dst=10024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851794A6B33A6D2AB8F1EC51D1A61E5C2AF858689BB6712D0ED7186A5264798BDED83EA327430644BC21B3E718985269CA8HFQ" TargetMode="External"/><Relationship Id="rId12" Type="http://schemas.openxmlformats.org/officeDocument/2006/relationships/hyperlink" Target="consultantplus://offline/main?base=LAW;n=107420;fld=134;dst=100560" TargetMode="External"/><Relationship Id="rId17" Type="http://schemas.openxmlformats.org/officeDocument/2006/relationships/hyperlink" Target="consultantplus://offline/ref=AF5CC0839BA2D7218612F9A6517C75DBAC8600F445DFC00E005A6838D762CDB904D940C57BE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5CC0839BA2D7218612F9A6517C75DBAC8600F445DFC00E005A6838D762CDB904D940C27BE1G" TargetMode="External"/><Relationship Id="rId20" Type="http://schemas.openxmlformats.org/officeDocument/2006/relationships/hyperlink" Target="consultantplus://offline/main?base=LAW;n=107420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" TargetMode="External"/><Relationship Id="rId11" Type="http://schemas.openxmlformats.org/officeDocument/2006/relationships/hyperlink" Target="consultantplus://offline/main?base=LAW;n=107420;fld=134;dst=100247" TargetMode="External"/><Relationship Id="rId5" Type="http://schemas.openxmlformats.org/officeDocument/2006/relationships/hyperlink" Target="consultantplus://offline/main?base=LAW;n=107420;fld=134" TargetMode="External"/><Relationship Id="rId15" Type="http://schemas.openxmlformats.org/officeDocument/2006/relationships/hyperlink" Target="consultantplus://offline/main?base=LAW;n=107420;fld=134;dst=100560" TargetMode="Externa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yperlink" Target="consultantplus://offline/main?base=LAW;n=107420;fld=134;dst=1005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08;n=81527;fld=134;dst=100012" TargetMode="External"/><Relationship Id="rId14" Type="http://schemas.openxmlformats.org/officeDocument/2006/relationships/hyperlink" Target="consultantplus://offline/main?base=LAW;n=107420;fld=134;dst=10055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14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2019-02-04T07:30:00Z</cp:lastPrinted>
  <dcterms:created xsi:type="dcterms:W3CDTF">2018-09-20T05:52:00Z</dcterms:created>
  <dcterms:modified xsi:type="dcterms:W3CDTF">2019-02-04T07:30:00Z</dcterms:modified>
</cp:coreProperties>
</file>